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060943" w:rsidRPr="004B59E5" w:rsidTr="00FF00A6">
        <w:tc>
          <w:tcPr>
            <w:tcW w:w="5000" w:type="pct"/>
          </w:tcPr>
          <w:p w:rsidR="00060943" w:rsidRPr="004B59E5" w:rsidRDefault="00060943" w:rsidP="00F341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59E5">
              <w:rPr>
                <w:rFonts w:ascii="Times New Roman" w:hAnsi="Times New Roman" w:cs="Times New Roman"/>
                <w:sz w:val="28"/>
                <w:szCs w:val="28"/>
              </w:rPr>
              <w:t>Приложение № 5 к Контракту</w:t>
            </w:r>
          </w:p>
        </w:tc>
      </w:tr>
      <w:tr w:rsidR="00060943" w:rsidRPr="004B59E5" w:rsidTr="00FF00A6">
        <w:tc>
          <w:tcPr>
            <w:tcW w:w="5000" w:type="pct"/>
          </w:tcPr>
          <w:p w:rsidR="00060943" w:rsidRPr="004B59E5" w:rsidRDefault="00060943" w:rsidP="009918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9E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объекта закупки (техническое задание). </w:t>
            </w:r>
          </w:p>
        </w:tc>
      </w:tr>
    </w:tbl>
    <w:p w:rsidR="00801DF4" w:rsidRPr="004B59E5" w:rsidRDefault="00801DF4" w:rsidP="00CA5C55">
      <w:bookmarkStart w:id="0" w:name="FirstTable"/>
      <w:bookmarkEnd w:id="0"/>
    </w:p>
    <w:tbl>
      <w:tblPr>
        <w:tblW w:w="14592" w:type="dxa"/>
        <w:tblLayout w:type="fixed"/>
        <w:tblLook w:val="04A0" w:firstRow="1" w:lastRow="0" w:firstColumn="1" w:lastColumn="0" w:noHBand="0" w:noVBand="1"/>
      </w:tblPr>
      <w:tblGrid>
        <w:gridCol w:w="1274"/>
        <w:gridCol w:w="13318"/>
      </w:tblGrid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I Раздел. Общие сведения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Наименование объекта закупки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hAnsi="Times New Roman"/>
                <w:sz w:val="28"/>
              </w:rPr>
              <w:t xml:space="preserve">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 ЦТП № 15 по адресу: Московская область, </w:t>
            </w:r>
            <w:proofErr w:type="spellStart"/>
            <w:r w:rsidRPr="004B59E5">
              <w:rPr>
                <w:rFonts w:ascii="Times New Roman" w:hAnsi="Times New Roman"/>
                <w:sz w:val="28"/>
              </w:rPr>
              <w:t>г.о</w:t>
            </w:r>
            <w:proofErr w:type="spellEnd"/>
            <w:r w:rsidRPr="004B59E5">
              <w:rPr>
                <w:rFonts w:ascii="Times New Roman" w:hAnsi="Times New Roman"/>
                <w:sz w:val="28"/>
              </w:rPr>
              <w:t xml:space="preserve">. Ленинский, ул. Заводская д. 15 (в </w:t>
            </w:r>
            <w:proofErr w:type="spellStart"/>
            <w:r w:rsidRPr="004B59E5">
              <w:rPr>
                <w:rFonts w:ascii="Times New Roman" w:hAnsi="Times New Roman"/>
                <w:sz w:val="28"/>
              </w:rPr>
              <w:t>т.ч</w:t>
            </w:r>
            <w:proofErr w:type="spellEnd"/>
            <w:r w:rsidRPr="004B59E5">
              <w:rPr>
                <w:rFonts w:ascii="Times New Roman" w:hAnsi="Times New Roman"/>
                <w:sz w:val="28"/>
              </w:rPr>
              <w:t>. ПИР)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Коды и наименования ОКПД2 / КТРУ / КОЗ, используемые при описании объекта закупки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Приведены в приложении 1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Виды и объемы работ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Приведены в приложении 1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Сроки (этапы) выполнения работ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Приведены в приложении 2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Заказчик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Муниципальное казенное учреждение Ленинского городского округа Московской области «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Видновское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управление капитального строительства»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Краткое наименование (МКУ «ВидУКС»)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5.1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Телефон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8-495-107-51-93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5.2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E-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mail</w:t>
            </w:r>
            <w:proofErr w:type="spellEnd"/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vid-uks@yandex.ru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5.3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Ф.И.О.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Мешина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Антонина Эдуардовна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Объект капитального строительства, подлежащий капитальному ремонту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Указан в пункте 1.1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Балансодержатель объекта капитального строительства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Муниципальное унитарное предприятие "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Видновское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производственно-техническое объединение городского хозяйства"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Краткое наименование (МУП «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Видновское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ПТО ГХ»)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II Раздел. Требования к порядку взаимодействия сторон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Взаимодействие сторон осуществляется в следующем порядке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1. В целях обеспечения взаимодействия Подрядчик и Заказчик определяют сотрудников, уполномоченных на взаимодействие при исполнении Контракта (далее – уполномоченные представители).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2. Подрядчик в срок, указанный в приложении 3 к Контракту, предоставляет Заказчику для организации взаимодействия с Заказчиком при исполнении Контракта посредством ПИК ЕАСУЗ уведомление о назначении уполномоченных представителей, составленное по форме согласно приложению 16 к Контракту,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а также копии организационно-распорядительных документов о назначении уполномоченных представителей, в том числе персонально ответственных основных должностных лиц, указанных в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пп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>. 5.3. СП 48.13330.2019 «Свод правил. Организация строительства. СНиП 12-01-2004» (далее – СП 48.13330.2019).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Заказчик, в течение 1 (одного) рабочего дня со дня предоставления Подрядчиком сведений о выделенном для взаимодействия с Заказчиком адресе электронной почты, направляет на указанный адрес электронной почты сведения об уполномоченных представителях (фамилия, имя, отчество (при наличии), должность, номер телефона, адрес электронной почты).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В случае замены уполномоченного представителя (в том числе временной), уведомление о замене с приложением сведений о новом уполномоченном представителе предоставляется в день такой замены.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5. Подрядчик обязан обеспечить: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1) ежедневный режим работы своих уполномоченных представителей в течение всего срока исполнения Контракта (в том числе в выходные и праздничные дни);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2) участие своих уполномоченных представителей, иных квалифицированных и подготовленных сотрудников (при необходимости) в организованных и (или) инициированных Заказчиком, производственных, технических, организационных и иных совещаниях по вопросам работ по капитальному ремонту Объекта при условии заблаговременного (не менее 24-х часов) уведомления Подрядчика о дате, времени, месте их проведения и подлежащих рассмотрению вопросов.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6. Если иное не определено условиями Контракта, требованиями действующего законодательства, Технического задания, Задания на проектирование объекта капитального строительства (далее – Задание на проектирование), направление уведомлений, требований в рамках исполнения Контракта, согласование документов и решений, действий, формируемых и принимаемых, реализуемых в ходе исполнения Контракта, в том числе в ходе или по результатам проведения инженерных изысканий, подготовки проектной документации, включая документы и решения, подлежащие утверждению Заказчиком (далее – согласование), Подрядчик и Заказчик осуществляют посредством обмена электронными сообщениями, документами, направляемыми на адреса электронной почты, предоставленные Сторонами в соответствии с пунктами 1-3 настоящего раздела Описания объекта закупки (технического задания), Задания на проектирование.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7. Если иное не определено условиями Контракта, требованиями действующего законодательства, Технического задания, Задания на проектирование согласование документов и решений, действий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lastRenderedPageBreak/>
              <w:t>осуществляется Сторонами в течение 5 (пяти) дней со дня поступления соответствующих обращений.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8. При необходимости передачи и(или) получения документов, в том числе в целях их согласования, на бумажном носителе и (или) съемном электронном носителе информации Подрядчик осуществляет согласование с Заказчиком даты, времени и места передачи и(или) получения таких документов.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9. Отсутствие согласования или отказа в согласовании Подрядчика или Заказчика в сроки, указанные в пункте 7 настоящего раздела Технического задания, не влечет признания согласованными документов и решений, принимаемых в ходе исполнения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10. Отказ Подрядчика или Заказчика в согласовании должен содержать указание на причины такого отказа и сроки их устранения.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11. Подрядчик или Заказчик обязаны за свой счет устранить причины отказа в согласовании в сроки, определенные в таком отказе.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III Раздел. Требования к условиям поставки товаров (выполнения работ, оказания услуг)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Общие требования к выполнению Работ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Подрядчик при выполнении Работ обеспечивает: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1) соответствие результатов Работ и их технологии требованиям Технического задания (и приложений к нему), а также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в том числе приведенных в IX Разделе настоящего Технического задания;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2) при необходимости получения сведений, документов для выполнения Работ, направление запросов в соответствующие государственные и муниципальные органы и учреждения, организации о предоставлении таких сведений, документов, если иное не определено условиями Контракта и требованиями действующего законодательства, настоящего Технического задания;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lastRenderedPageBreak/>
              <w:t>3) оформление и получение ордеров (разрешений) на производство земляных работ не позднее чем за 15 (пятнадцать) календарных дней до начала производства работ, связанных с разработкой грунта, а в случаях, установленных регламентом, регулирующим выдачу такого ордера органа, не позднее такого установленного срока, и передачу его копии Заказчику не позднее следующего рабочего дня (при необходимости);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4) осуществление всех временных присоединений коммуникаций на период выполнения Работ и присоединение вновь построенных коммуникаций в точках подключения в соответствии с техническими условиями;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5) своевременную доставку (транспортировку), страхование перевозок, разгрузку, складирование материалов, инструментов, оборудования и техники, используемых при выполнении Работ;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6) надлежащую охрану Объекта и имущества на территории огражденной строительной площадки от начала работ до завершения капитального ремонта и приемки Заказчиком Объекта;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7) при организации строительной площадки, размещении участков работ, рабочих мест, проездов строительных машин и транспортных средств, проходов для людей, учитывая безопасность дорожного движения в соответствии с Правилами дорожного движения Российской Федерации, установление опасных для работников зон, в пределах которых постоянно действуют или потенциально могут действовать опасные или вредные производственные факторы;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8) выполнение всех видов и объемов Работ с использованием необходимых для выполнения Работ специализированных технических средств необходимым составом и количеством работников (специалистов, рабочих), отвечающих требованиям к квалификации, обязательных для таких работников при осуществления определенного вида профессиональной деятельности, в том числе выполнения определенной трудовой функции;  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9) работников, привлекаемых к выполнению Работ, спецодеждой (униформой) и другими необходимыми средствами индивидуальной защиты, материалами и инвентарем;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10) соблюдение правил действующего внутреннего распорядка, контрольно-пропускного режима, внутренних положений и инструкций эксплуатирующей организации;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11) соблюдение требований санитарно-эпидемиологических правил и нормативов, действующих нормативных правовых актов в области охраны труда, техники безопасности, пожарной безопасности, эксплуатации электроустановок;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lastRenderedPageBreak/>
              <w:t>12) наличие материальных и технических средств для осуществления мероприятий по спасению людей и ликвидации аварии;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13) соблюдение правил привлечения иностранной и иногородней рабочей силы, установленные законодательством Российской Федерации и иными нормативными правовыми актами;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14) соблюдение требований законодательства в сфере охраны окружающей среды и обращения с отходами производства и потребления, в том числе: содержание и уборку места выполнения Работ;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15)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tab/>
              <w:t xml:space="preserve">чистоту выезжающих с места выполнения Работ транспортных средств, специализированной техники; сбор и хранение отходов, образовавшихся при выполнении Работ, в соответствии с требованиями п. 3.9.,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пп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. 4.4.1 и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п.п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. 4.5. и 6.1 ГОСТ Р 57678-2017 «Национальный стандарт Российской Федерации. Ресурсосбережение. Обращение с отходами. Ликвидация строительных отходов» (утвержден и введен в действие приказом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Росстандарта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от 19.09.2017 № 1163-ст);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16) </w:t>
            </w:r>
            <w:r w:rsidR="0005203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 xml:space="preserve">одержать и производить уборку строительной площадки и прилегающей территории с соблюдением норм технической безопасности, пожарной и производственной санитарии, а также обеспечивать чистоту выезжающих транспортных средств, дорожной строительной техники (в течение срока действия Контракта), обеспечить вывоз и утилизацию отходов строительства, сноса зданий и сооружений, в том числе грунтов, (далее – </w:t>
            </w:r>
            <w:proofErr w:type="spellStart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ОССиГ</w:t>
            </w:r>
            <w:proofErr w:type="spellEnd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 xml:space="preserve">) на специализированных объектах приема (переработки) </w:t>
            </w:r>
            <w:proofErr w:type="spellStart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ОССиГ</w:t>
            </w:r>
            <w:proofErr w:type="spellEnd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 xml:space="preserve">, зарегистрированных в подсистеме Электронный талон </w:t>
            </w:r>
            <w:proofErr w:type="spellStart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ОССиГ</w:t>
            </w:r>
            <w:proofErr w:type="spellEnd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 xml:space="preserve"> РГИС Московской области (перечень размещен на сайте Министерства экологии и природопользования Московской области), с предоставлением документов, подтверждающих сдачу (прием) всего объема </w:t>
            </w:r>
            <w:proofErr w:type="spellStart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ОССиГ</w:t>
            </w:r>
            <w:proofErr w:type="spellEnd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 xml:space="preserve">, образуемого на Объекте (реестр и копии погашенных электронных талонов </w:t>
            </w:r>
            <w:proofErr w:type="spellStart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ОССиГ</w:t>
            </w:r>
            <w:proofErr w:type="spellEnd"/>
            <w:r w:rsidR="0005203F" w:rsidRPr="0005203F">
              <w:rPr>
                <w:rFonts w:ascii="Times New Roman" w:eastAsia="Times New Roman" w:hAnsi="Times New Roman" w:cs="Times New Roman"/>
                <w:sz w:val="28"/>
              </w:rPr>
              <w:t>, в соответствии с балансом (планом) земляных масс, проектом организа</w:t>
            </w:r>
            <w:r w:rsidR="0005203F">
              <w:rPr>
                <w:rFonts w:ascii="Times New Roman" w:eastAsia="Times New Roman" w:hAnsi="Times New Roman" w:cs="Times New Roman"/>
                <w:sz w:val="28"/>
              </w:rPr>
              <w:t>ции работ по сносу и демонтажу)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t>, срок предоставления указан в приложении 2 и в приложении 3 к Контракту;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17) по завершении Работ вывоз за пределы площадки, принадлежащие Подрядчику или субподрядчикам строительные машины и оборудование, транспортные средства, инструменты, приборы, инвентарь, строительные материалы, изделия, оборудование, конструкции, временные сооружения и другое имущество, а также отходов, образовавшихся при выполнении Работ осуществляется в срок, указанный в разделе 5 Контракта;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18) восстановление нарушенных в результате выполнения Работ существующих конструктивных элементов, систем инженерно-технического обеспечения, элементов благоустройства. В случае повреждения действующих инженерных коммуникаций, необходимый объем работ Подрядчик согласовывает с балансодержателем инженерной коммуникации и выполняет ремонтные работы в течение 2 (двух) рабочих дней с момента их повреждения.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Все положения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иных актов и документов, подлежащих применению при выполнении Работ, применяются исключительно в действующей на момент выполнения Работ редакции, с учетом изменений и дополнений.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Вся полнота ответственности за соблюдением при выполнении Работ требований трудового законодательства, требований к охране труда, технике безопасности, пожарной безопасности, правил технической эксплуатации электроустановок, требований санитарно-эпидемиологических правил и нормативов (в том числе гигиенических нормативов, устанавливающих требования к факторам рабочей среды и трудового процесса), возлагается на Подрядчика.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Работы и Результат Работ должен соответствовать «Технической политике в сфере теплоснабжения на территории Московской области», утвержденной распоряжением Министерства энергетики Московской области от 01.03.2024 № 17-р.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lastRenderedPageBreak/>
              <w:t>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Перечень исходных данных, предоставляемых Заказчиком для выполнения инженерных изысканий, подготовки проектной документации, порядок их предоставления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Исходными данными для выполнения инженерных изысканий, подготовки проектной документации являются: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Техническое задание (включая Задание на проектирование);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иные исходные данные для выполнения инженерных изысканий, подготовки проектной документации, указанные в Приложении № 2 к Заданию на проектирование.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проведению инженерных изысканий и выполнению работ по подготовке проектной документации и рабочей документации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E87286" w:rsidRPr="004B59E5" w:rsidRDefault="004726E7" w:rsidP="00E872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1. Подрядчик осуществляет проведение инженерных изысканий, представление их результатов в соответствии с Заданием на проектирование.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2. Подрядчик осуществляет подготовку проектной документации и рабочей документации в соответствии с требованиями законодательства Российской Федерации о градостроительной деятельности, Техническим заданием, включая Задание на проектирование.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Результатом выполнения работ по подготовке проектной документации является проектная документация, соответствующая требованиям законодательства Российской Федерации о градостроительной деятельности, Технического задания, включая Задание на проектирование.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Результаты выполнения работ по инженерным изысканиям, по подготовке проектной документации признаются результатами выполненных работ, предусмотренных контрактом, исключительно при наличии положительного заключения государственной экспертизы (в случае, если в соответствии с Градостроительным кодексом Российской Федерации (далее – Градостроительный кодекс) проведение экспертизы проектной документации и (или) результатов инженерных изысканий является обязательным).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  <w:r w:rsidR="00E87286" w:rsidRPr="004B59E5">
              <w:rPr>
                <w:rFonts w:ascii="Times New Roman" w:eastAsia="Times New Roman" w:hAnsi="Times New Roman" w:cs="Times New Roman"/>
                <w:sz w:val="28"/>
              </w:rPr>
              <w:t xml:space="preserve">5. </w:t>
            </w:r>
            <w:r w:rsidR="00E87286" w:rsidRPr="004B59E5">
              <w:rPr>
                <w:rFonts w:ascii="Times New Roman" w:eastAsia="Calibri" w:hAnsi="Times New Roman" w:cs="Times New Roman"/>
                <w:sz w:val="28"/>
              </w:rPr>
              <w:t xml:space="preserve">Подрядчик или привлекаемая им субподрядная организация (проектная организация) должен являться членом саморегулируемой организации в области архитектурно-строительного проектирования, инженерных изысканий. </w:t>
            </w:r>
          </w:p>
          <w:p w:rsidR="00E87286" w:rsidRPr="004B59E5" w:rsidRDefault="00E87286" w:rsidP="00E872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4B59E5">
              <w:rPr>
                <w:rFonts w:ascii="Times New Roman" w:eastAsia="Calibri" w:hAnsi="Times New Roman" w:cs="Times New Roman"/>
                <w:sz w:val="28"/>
              </w:rPr>
              <w:t xml:space="preserve">При этом минимальный размер взноса в компенсационный фонд возмещения вреда должен быть сформирован в соответствии с требованиями части 10 статьи 55.16 Градостроительного кодекса Российской Федерации, минимальный размер взноса в компенсационный фонд обеспечения договорных обязательств должен быть сформирован в соответствии с требованиями части 11 статьи 55.16 Градостроительного кодекса Российской Федерации. </w:t>
            </w:r>
          </w:p>
          <w:p w:rsidR="00E87286" w:rsidRPr="004B59E5" w:rsidRDefault="00E87286" w:rsidP="00E8728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4B59E5">
              <w:rPr>
                <w:rFonts w:ascii="Times New Roman" w:eastAsia="Calibri" w:hAnsi="Times New Roman" w:cs="Times New Roman"/>
                <w:sz w:val="28"/>
              </w:rPr>
              <w:t>Уровень ответственности члена саморегулируемой организации должен быть не ниже цены работ по подготовке проектной документации, определенной контрактом. За исключением случаев, перечисленных в части 4.1 статьи 48 и в пункте 2.1 статьи 47 Градостроительного кодекса РФ.</w:t>
            </w:r>
          </w:p>
          <w:p w:rsidR="008E4123" w:rsidRPr="004B59E5" w:rsidRDefault="008E4123">
            <w:pPr>
              <w:jc w:val="both"/>
            </w:pP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экспертизе проектной документации, результатов инженерных изысканий, проверке достоверности сметной стоимости капитального ремонта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Подрядчик в соответствии с требованиями постановления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 выступает заявителем при подаче заявления о проведении государственной экспертизы результатов инженерных изысканий, проектной документации, в том числе в части проверки достоверности определения сметной стоимости (далее – государственная экспертиза).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Направление заявления о проведении государственной экспертизы осуществляется Подрядчиком посредством Портала государственных и муниципальных услуг Московской области.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Порядок направления результатов инженерных изысканий и (или) проектной документации на государственную экспертизу указан в пункте 3.8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3. Срок и порядок получения документов, подтверждающих полномочия Подрядчика, связанные с проведением государственной экспертизы, Подрядчик согласовывает с заказчиком. 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Подрядчик за свой счет и своими силами устраняет все недостатки заявления о проведении государственной экспертизы и (или) проектной документации, препятствующие получению положительного заключения государственной экспертизы.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5. В случае получения отказа от органа (учреждения), уполномоченного на проведение государственной экспертизы, в принятии заявления о проведении государственной экспертизы (далее – отказ) Подрядчик обязан уведомить об этом Заказчика с указанием планируемых сроков устранения причин отказа.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выполнению работ по капитальному ремонту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Подрядчик осуществляет выполнение работ по капитальному ремонту Объекта в соответствии с утвержденной проектной документацией, требованиями Технического задания, ПОС и проектом производства работ (выполнения работ по капитальному ремонту Объекта) (далее – ППР).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ППР должен предусматривать завершение капитального ремонта в сроки, установленные в приложении 2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Содержание ППР разрабатывается Подрядчиком на основании утвержденной  проектной документации, рабочей документации и должен соответствовать требованиям: СП 48.13330.2019 «Организация строительства», при разработке ППР следует руководствоваться (в части не противоречащей СП 48.13330.2019) Методической документацией в строительстве 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Подрядчик осуществляет согласование ППР в соответствии с требованиями СП 48.13330.2019 (п. 6.9) своими силами и за свой счет.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5. На согласование Заказчику ППР предоставляется Подрядчиком в срок, указанный в приложении 3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6. Заказчик согласовывает ППР в срок, указанный в приложении 3 к Контракту, со дня его предоставления Подрядчиком.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7. В процессе выполнения работ по капитальному ремонту Объекта в ППР могут вноситься изменения по согласованию с Заказчиком.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8. В случае необходимости внесения изменений в проектную документацию, получившую положительное заключение государственной экспертизы, связанных с заменой строительных ресурсов на аналоги, соответствующие изменения по согласованию с Заказчиком вносятся в проектную документацию в случаях и в порядке, установленном законодательством.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9. В случае, если для выполнения работ по капитальному ремонту Объекта необходимо получение разрешений и (или) согласований, в том числе связанных с выполнением работ в охранных зонах газопроводов, теплотрасс, линий электропередач, линий связи, на коммуникациях и сооружениях водоснабжения, водоотведения, коллекторах, а также на трассах (маршрутах) проезда, в местах постоянного и временного пребывания объектов государственной охраны, Подрядчик самостоятельно обеспечивает получение таких разрешений и (или) согласований.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10. Подрядчик обязан обеспечить возможность доступа представителя Заказчика к месту выполнения работ по капитальному ремонту Объекта по требованию Заказчика.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11. До начала выполнения работ по капитальному ремонту Объекта Подрядчик обязан принять от Заказчика Объект по Акту приема-передачи строительной площадки и направить Заказчику уведомление о готовности приступить к выполнению работ по капитальному ремонту Объекта с указанием планируемой календарной даты их начала.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12. При выполнении работ по капитальному ремонту Объекта Подрядчик обязан: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1) вести Общий журнал, в котором ведется учет выполнения работ по строительству, реконструкции, капитальному ремонту объекта капитального строительства по форме и в соответствии с порядком ведения, установленными приказом Минстроя России от 02.12.2022 № 1026/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пр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2) вести специальные журналы работ, предусмотренные пунктом 4 части 5 статьи 52 Градостроительного кодекса Российской Федерации;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3) выполнять требования, предъявляемые уполномоченными представителями контролирующих и надзорных органов в соответствии с требованиями действующего законодательства, за свой счет и своими силами.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4) разместить информационные щиты в соответствии с требованиями п. 7.18 СП 48.13330.2019 «Организация строительства»;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5) осуществить за свой счет оказание услуг по уборке помещений после проведения капитального ремонта в соответствии с ГОСТ Р 51870-2014. «Национальный стандарт Российской Федерации. Услуги профессиональной уборки -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клининговые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 услуги. Общие технические условия»;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6) информировать Заказчика обо всех происшествиях на Объекте, в том числе об авариях, несчастных случаях, в течение 24 часов с момента, когда они стали известны или должны были быть известны Подрядчику.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13. Для проверки соответствия качества выполненных работ по капитальному ремонту Объекта требованиям, установленным настоящим Техническим заданием, Контрактом, Заказчик вправе привлекать независимых экспертов.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14. Подрядчик обязан безвозмездно исправить по требованию Заказчика все выявленные недостатки, в установленные Заказчиком сроки.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материалам, оборудованию используемым (применяемым) при выполнении работ по капитальному ремонту Объекта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Материалы, изделия, конструкции и оборудование, планируемые к использованию при выполнении работ по капитальному ремонту Объекта, в том числе при производстве каждого вида работ (далее – используемые материалы), должны соответствовать требованиям проектной документации, соответствовать по качеству и потребительским свойствам сертификатам, свидетельствам и паспортам качества изготовителей, должны быть разрешены к использованию на территории Российской Федерации.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В соответствии с пунктом 3.12 Контракта, Подрядчик предоставляет Заказчику сертификаты соответствия и (или) декларации о соответствии, действующие на территории Российской Федерации (в случае если в отношении данной группы товаров установлено требование об обязательном подтверждении соответствия), техническую документацию производителя таких материалов.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условиям поставки и монтажу оборудования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Поставка оборудования, все виды погрузочно-разгрузочных работ осуществляются Подрядчиком собственными или привлеченными техническими средствами за свой счет по адресу получателя, указанному в приложении 2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2. Сборка, установка, монтаж и ввод в эксплуатацию оборудования, необходимого для обеспечения эксплуатации объекта капитального строительства осуществляется Подрядчиком согласно приложению 6 к Контракту, на условиях, предусмотренных </w:t>
            </w:r>
            <w:proofErr w:type="spellStart"/>
            <w:r w:rsidRPr="004B59E5">
              <w:rPr>
                <w:rFonts w:ascii="Times New Roman" w:eastAsia="Times New Roman" w:hAnsi="Times New Roman" w:cs="Times New Roman"/>
                <w:sz w:val="28"/>
              </w:rPr>
              <w:t>пп</w:t>
            </w:r>
            <w:proofErr w:type="spellEnd"/>
            <w:r w:rsidRPr="004B59E5">
              <w:rPr>
                <w:rFonts w:ascii="Times New Roman" w:eastAsia="Times New Roman" w:hAnsi="Times New Roman" w:cs="Times New Roman"/>
                <w:sz w:val="28"/>
              </w:rPr>
              <w:t>. 3.13.1 п. 3.13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Срок начала и окончания  передачи материалов, оборудования приведены в приложении 2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оснащению (оборудованию)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Все оборудование (в том числе технологическое и инженерное оборудование (и иное монтируемое оборудование), материалы, конструкции, изделия или оборудование, подлежащие передаче Заказчику после завершения Работ) должно быть: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-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  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соответствовать требованиям проектной документации, Технического задания, соответствовать по качеству и потребительским свойствам сертификатам, свидетельствам и паспортам качества производителей, декларациям о соответствии, действующим на территории Российской Федерации (в случае если в отношении данной группы товаров установлено требование об обязательном подтверждении соответствия),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иметь маркировку (в случаях, предусмотренных законодательством Российской Федерации);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разрешено к использованию на территории Российской Федерации;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отвечать требованиям производителя к комплектности;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быть в работоспособном, исправном состоянии (не требовать ремонта, отвечать требованиям производителя к производительности и безопасности эксплуатации), не иметь недостатков, в том числе устранимых;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согласно в установленном порядке с профильным министерством.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На каждую единицу оборудования Подрядчик предоставляет Заказчику все относящиеся (предусмотренные производителем) к такому оборудованию принадлежности (комплекты принадлежности), и документы, содержащие информацию о правилах и условиях безопасного использования товара, технические и (или) эксплуатационные документы (технические паспорта или иные, заменяющие их документы, инструкции по эксплуатации), а также схемы, монтажные, рабочие и сборочные чертежи (кроме оборудования, на которые такие схемы, чертежи не разрабатываются), сведения о подтверждении соответствия оборудования установленным в соответствии с действующим законодательством требованиям, а также о сроке годности и (или) сроке службы.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организации пусконаладочных работ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Выполнение пусконаладочных работ Подрядчик осуществляет в соответствии с программой пусконаладочных работ (далее – программа ПНР), требованиями проектной документации, настоящего Технического задания, эксплуатационной документации оборудования, утвержденной предприятиями-изготовителями, нормативно-технической документации, в том числе: СП 76.13330.2016 «Свод правил. Электротехнические устройства. Актуализированная редакция СНиП 3.05.06-85», СП 68.13330.2017 «Приемка в эксплуатацию законченных строительством объектов. Основные положения». Актуализированная редакция СНиП 3.01.04-87, СП 73.13330.2016 «Свод правил. Внутренние санитарно-технические системы зданий. СНиП 3.05.01-85».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По результатам пусконаладочных работ Подрядчик оформляет исполнительную документацию (акты, протоколы) в соответствии с требованиями нормативно-технической документации, в том числе Акты приемки оборудования после комплексного опробования.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Соблюдение требований, установленным законодательством Российской Федерации к лицам, осуществляющим лицензируемые виды деятельности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В случаях, когда выполняемые работы по капитальному ремонту Объекта, связаны с осуществлением лицензируемой деятельности, Подрядчик обязан обеспечить выполнение таких работ лицами, обладающими действующей лицензией, полученной в соответствии с требованиями Федерального закона от 04.05.2011 № 99-ФЗ «О лицензировании отдельных видов деятельности».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Функциональные, технические, качественные, эксплуатационные характеристики объекта закупки (товаров, подлежащих поставке)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Определяются проектной документацией.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IV Раздел. Срок (график), место, объемы поставки товаров (выполнения работ, оказания услуг)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Срок (график), место, объемы поставки товаров (выполнения работ, оказания услуг) определены в приложении 2 к Контракту.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E87286" w:rsidRPr="004B59E5" w:rsidTr="00E87286">
        <w:tc>
          <w:tcPr>
            <w:tcW w:w="1274" w:type="dxa"/>
          </w:tcPr>
          <w:p w:rsidR="00E87286" w:rsidRPr="004B59E5" w:rsidRDefault="00E87286" w:rsidP="00E87286"/>
        </w:tc>
        <w:tc>
          <w:tcPr>
            <w:tcW w:w="13318" w:type="dxa"/>
          </w:tcPr>
          <w:p w:rsidR="00E87286" w:rsidRPr="004B59E5" w:rsidRDefault="00E87286" w:rsidP="00E87286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V Раздел. Информация о месте, датах начала и окончания, порядке и графике осмотра участником закупки образца или макета товара</w:t>
            </w:r>
          </w:p>
        </w:tc>
      </w:tr>
      <w:tr w:rsidR="00E87286" w:rsidRPr="004B59E5" w:rsidTr="00E87286">
        <w:tc>
          <w:tcPr>
            <w:tcW w:w="1274" w:type="dxa"/>
          </w:tcPr>
          <w:p w:rsidR="00E87286" w:rsidRPr="004B59E5" w:rsidRDefault="00E87286" w:rsidP="00E87286"/>
        </w:tc>
        <w:tc>
          <w:tcPr>
            <w:tcW w:w="13318" w:type="dxa"/>
          </w:tcPr>
          <w:p w:rsidR="00E87286" w:rsidRPr="004B59E5" w:rsidRDefault="00E87286" w:rsidP="00E87286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о соответствии поставляемого товара образцу или макету товара не установлены.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E87286" w:rsidRPr="004B59E5" w:rsidTr="00E87286">
        <w:tc>
          <w:tcPr>
            <w:tcW w:w="1274" w:type="dxa"/>
          </w:tcPr>
          <w:p w:rsidR="00E87286" w:rsidRPr="004B59E5" w:rsidRDefault="00E87286" w:rsidP="00E87286"/>
        </w:tc>
        <w:tc>
          <w:tcPr>
            <w:tcW w:w="13318" w:type="dxa"/>
          </w:tcPr>
          <w:p w:rsidR="00E87286" w:rsidRPr="004B59E5" w:rsidRDefault="00E87286" w:rsidP="00E87286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VI Раздел. Функциональные, технические, качественные, эксплуатационные характеристик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t>и объекта закупки (товаров, подлежащих поставке)</w:t>
            </w:r>
          </w:p>
        </w:tc>
      </w:tr>
      <w:tr w:rsidR="00E87286" w:rsidRPr="004B59E5" w:rsidTr="00E87286">
        <w:tc>
          <w:tcPr>
            <w:tcW w:w="1274" w:type="dxa"/>
          </w:tcPr>
          <w:p w:rsidR="00E87286" w:rsidRPr="004B59E5" w:rsidRDefault="00E87286" w:rsidP="00E87286"/>
        </w:tc>
        <w:tc>
          <w:tcPr>
            <w:tcW w:w="13318" w:type="dxa"/>
          </w:tcPr>
          <w:p w:rsidR="00E87286" w:rsidRPr="004B59E5" w:rsidRDefault="00E87286" w:rsidP="00E87286">
            <w:r w:rsidRPr="004B59E5">
              <w:rPr>
                <w:rFonts w:ascii="Times New Roman" w:eastAsia="Times New Roman" w:hAnsi="Times New Roman" w:cs="Times New Roman"/>
                <w:sz w:val="28"/>
              </w:rPr>
              <w:t>Функциональные, технические, качественные, эксплуатационные характеристики товаров, подлежащих поставке, определяются в проектной документации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VII Раздел. Дополнительные сведения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Приемка и освидетельствование скрытых работ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Скрытые работы (работы, скрываемые последующими работами и конструкциями, качество и точность которых невозможно определить после выполнения последующих работ) предъявляются Заказчику по мере их готовности, при их приемке подлежат оформлению Акты освидетельствования скрытых работ в соответствии с приложением № 3 к Приказу № 344/пр.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Подрядчик обязан известить Заказчика о готовности скрытых работ не менее чем за 3 (три) рабочих дня до начала приемки соответствующих работ по капитальному ремонту.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Подрядчик вправе приступать к выполнению последующих работ только после приемки Заказчиком скрытых работ и составления актов их освидетельствования.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Результат выполнения работ по капитальному ремонту Объекта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Результатом выполненной Работы по Контракту является Объект, в отношении которого окончены работы по капитальному ремонту, готовый к эксплуатации, получивший разрешительную документацию (пункт 1.5 Контракта).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2. Результаты выполнения работ по капитальному ремонту должны соответствовать требованиям Технического задания по качеству, быть пригодным для использования в рамках функционирования эксплуатирующей организации.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В части отделочных работ, в том числе, отвечать требованиям Методических рекомендаций по нормам, правилам и приемам выполнения отделочных работ МДС 12-30.2006 «Методические рекомендаций по нормам, правилам и приемам выполнения отделочных работ».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Результаты выполнения Работ принимаются в соответствии с условиями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обучению лиц, осуществляющих использование и обслуживание товара, к обеспечению инструктажа производителем или уполномоченным представителем производителя товара специалистов заказчика (получателей)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В случае если эксплуатация товаров, оборудования, требует специальных знаний и навыков, Подрядчик в порядке, согласованном с Заказчиком за свой счет обеспечивает обучение лиц, осуществляющих использование и обслуживание таких товаров, оборудования, в том числе правилам эксплуатации (в соответствии с технической и (или) эксплуатационной документацией производителя (изготовителя).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При необходимости, в том числе по требованию Заказчика или в случае, если это определено производителем, Подрядчик обеспечивает инструктаж производителем или уполномоченным представителем производителя товара, оборудования специалистов заказчика (эксплуатирующей организации).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VIII Раздел. Требования к гарантии качества товара, работы, услуги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Для результатов инженерных изысканий и проектной документации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На результаты инженерных изысканий и проектную документацию гарантийный срок составляет не менее 12 (двенадцати) месяцев с даты подписания документа о приемке, указанного в приложении 2 к Контракту.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Для результатов выполнения работ по капитальному ремонту Объекта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1. Гарантийный срок на результат Работ составляет 60 (шестьдесят) месяцев с даты подписания Сторонами Акта приемки объекта капитального строительства (приложение 17 к Контракту).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В течение гарантийного срока Подрядчик несёт обязательства по безвозмездному устранению недостатков результата Работ, включая работ, выполненных субподрядными организациями.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Под недостатками результата Работ понимается, в том числе несоответствие их качества требованиям Технического задания, проявившееся в течение гарантийного срока.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4. В случае выявления необходимости устранению недостатков результата Работ, Заказчик действует в порядке, установленном разделом 6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Для товаров, используемых, при выполнении Работ, поставляемых при исполнении контракта</w:t>
            </w:r>
          </w:p>
        </w:tc>
      </w:tr>
      <w:tr w:rsidR="008E4123" w:rsidRPr="004B59E5" w:rsidTr="00E87286">
        <w:tc>
          <w:tcPr>
            <w:tcW w:w="1274" w:type="dxa"/>
            <w:vMerge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1. Гарантийный срок на все товары (в том числе технологическое и инженерное оборудование (и иное монтируемое оборудование), материалы, конструкции, изделия или оборудование, подлежащие передаче Заказчику после завершения Работ) должен составлять не менее 12 (двенадцати) месяцев с даты подписания электронного документа о приемке, указанного в приложении 2 к Контракту, но не менее гарантийного срока производителя.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2. В случае если производителями товара, установлены гарантийные сроки, большие по сравнению с гарантийным сроком, предусмотренным Техническим заданием, к соответствующим товарам применяются гарантийные сроки, установленные производителями.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3. Подрядчик гарантирует, что товар сохранит свое качество и работоспособность при условии эксплуатации (использования) в соответствии с требованиями технической и (или) эксплуатационной документацией производителя товара в течение всего гарантийного срока товара.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4. Информация о местах нахождений сервисных центров и порядке обращения должна находиться в сопроводительной документации к товару.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В случае изменения указанной информации Подрядчик обязан предоставить необходимые уточняющие сведения в течение 1 (одного) рабочего дня со дня поступления соответствующего запроса заказчика (эксплуатирующей организации).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5. Подрядчик обязан передать Заказчику все документы, подтверждающие гарантийные обязательства производителей.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6. В течение гарантийного срока Подрядчик несёт обязательства по замене, ремонту, восстановлению товара в случае обнаружения недостатков товара, возникших не по вине Заказчика, в том числе устранению недостатков выполненных пусконаладочных работ. Расходы, связанные с транспортировкой товара в целях его ремонта (доставку неисправного товара в сервисные центры и обратно) в течение гарантийного срока несет Подрядчик.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7. В случае выявления необходимости ремонта, восстановления или замены товара, устранения недостатков, выполненных Подрядчиком (субподрядной организацией) пусконаладочных работ, Заказчик действует в порядке, установленном разделом 6 Контракта.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IX Раздел. Перечень правовых актов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Градостроительный кодекс Российской Федерации № 190-ФЗ от 01.09.2024.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«О клиринге, клиринговой деятельности и центральном контрагенте» № 7-ФЗ от 07.02.2011.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«О лицензировании отдельных видов деятельности» № 99-ФЗ от 04.05.2011.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«О санитарно-эпидемиологическом благополучии населения» № 52-ФЗ от 30.03.1999.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«Об обеспечении единства измерений» № 102-ФЗ от 26.06.2008.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«Об энергосбережении и о повышении энергетической эффективности, и о внесении изменений в отдельные законодательные акты Российской Федерации» № 261-ФЗ от 23.11.2009.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«Технический регламент о безопасности зданий и сооружений» № 384-ФЗ от 30.12.2009.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Федеральный закон «Технический регламент о требованиях пожарной безопасности» № 123-ФЗ от 22.07.2008.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 порядке организации и проведения государственной экспертизы проектной документации и результатов инженерных изысканий» № 145 от 05.03.2007.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 составе разделов проектной документации и требованиях к их содержанию» № 87 от 16.02.2008.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«Об установлении случаев, при которых застройщиком, техническим заказчиком, лицом, обеспечивающим или осуществляющим подготовку обоснования инвестиций, и (или) лицом, ответственным за эксплуатацию объекта капитального строительства, обеспечиваются формирование и ведение информационной модели объекта капитального строительства» № 331 от 05.03.2021.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Федерации» № 85 от 30.01.2001.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«Об утверждении Правил противопожарного режима в Российской Федерации» № 1479 от 16.09.2020.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Российской Федерации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 № 1221 от 31.12.2009.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Министерства Российской Федерации по делам гражданской обороны, чрезвычайным ситуациям и ликвидации последствий стихийных бедствий об утверждении свода правил СП 2.13130 «Системы противопожарной защиты. обеспечение огнестойкости объектов защиты» № 151 от 12.03.2022.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Министерства строительства и жилищно-коммунального хозяйства Российской Федерации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№ 344/пр от 16.05.2023.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Минстроя России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№ 421/пр от 04.08.2020.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Минстроя России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 № 783/пр от 12.05.2017.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Минстроя России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 № 1026/пр от 02.12.2022.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МЧС России «Об утверждении свода правил СП 1.13130 «Системы противопожарной защиты. Эвакуационные пути и выходы» № 194 от 19.03.2020.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Росстандарта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закона» № 687 от 02.04.2020.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Ростехнадзора России «Об утверждении федеральных норм и правил в области промышленной безопасности «Общие требования к обоснованию безопасности опасного производственного объекта» № 142 от 27.04.2024.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Приказ Ростехнадзора России «Об утверждении федеральных норм и правил в области промышленной безопасности «правила безопасности сетей газораспределения и газопотребления»» № 531 от 15.12.2020.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Международный стандарт. «Здания и сооружения. Правила обследования и мониторинга технического состояния» ГОСТ 31937-2024.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Национальный стандарт Российской Федерации. «Ресурсосбережение. Обращение с отходами. Ликвидация строительных отходов» ГОСТ Р 57678-2017.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Национальный стандарт Российской Федерации. «Система проектной документации для строительства. Основные требования к проектной и рабочей документации» ГОСТ Р 21.101-2020.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Национальный стандарт Российской Федерации. «Услуги профессиональной уборки - клининговые услуги. Общие технические условия» ГОСТ Р 51870-2014.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МО «Об утверждении Порядка организации охраны объектов Московской области, осуществляемой за счет средств бюджета Московской области» № 530/24 от 12.07.2016.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Московской области «О Московской областной комиссии по индексации цен и ценообразованию в строительстве» № 538/29 от 23.07.2013.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Московской области «Об утверждении Методических рекомендаций по внешнему виду и размещению рекламных конструкций и средств размещения информации на зданиях и сооружениях» № 3/1 от 23.01.2014.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Распоряжение Министерства строительного комплекса Московской области «Об утверждении требований к проектным решениям, предъявляемым к объектам капитального строительства, финансируемых за счет бюджетных средств, на территории Московской области» № 200-РМ от 04.12.2023.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Распоряжение Министерства энергетики Московской области «Об утверждении Технической политики в сфере теплоснабжения на территории Московской области» № 17-Р от 01.03.2024.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«Методические рекомендации по обеспечению санитарно-эпидемиологических требований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мероприятий. (утв. Главным государственным санитарным врачом РФ 17.05.2021)» МР 2.1.0246-21.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 МДС 12-46.2008.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«Методические рекомендаций по нормам, правилам и приемам выполнения отделочных работ» МДС 12-30.2006.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«Инструкция по устройству молниезащиты зданий, сооружений и промышленных коммуникаций» СО 153-34.21.122-2003 от 30.06.2003.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 по проектированию и строительству. Автономные источники теплоснабжения» СП 41-104-2000.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 по проектированию и строительству. Проектирование и монтаж трубопроводов систем водоснабжения и канализации из полимерных материалов. Общие требования» СП 40-102-2000.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 по проектированию и строительству. Проектирование и монтаж электроустановок жилых и общественных зданий» СП 31-110-2003 от 26.10.2003.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 сети проводного радиовещания и оповещения в зданиях и сооружениях нормы проектирования» СП 133.13330.2012.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 системы электросвязи зданий и сооружений основные положения проектирования» СП 134.13330.2022.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Безопасность труда в строительстве. Часть 1. Общие требования» СНиП 12-03-2001.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Безопасность труда в строительстве. Часть 2. Строительное производство» СНиП 12-04-2002.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Благоустройство территорий. Актуализированная редакция СНиП III-10-75» СП 82.13330.2016.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Внутренние санитарно-технические системы зданий. СНиП 3.05.01-85» СП 73.13330.2016.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Газораспределительные системы. Актуализированная редакция СНиП 42-01-2002*» СП 62.13330.2011.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Градостроительство. Планировка и застройка городских и сельских поселений. Актуализированная редакция СНиП 2.07.01-89*» СП 42.13330.2016.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Свод правил. «Естественное и искусственное освещение. Актуализированная редакция СНиП 23-05-95*» СП 52.13330.2016.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Инженерно-геодезические изыскания для строительства. Общие правила производства работ» СП 317.1325800.2017.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Инженерные изыскания для строительства. Основные положения. Актуализированная редакция СНиП 11-02-96» СП 47.13330.2016.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Котельные установки. Актуализированная редакция СНиП II-35-76» СП 89.13330.2016.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Свод правил. «Нагрузки и воздействия. Актуализированная редакция СНиП 2.01.07-85*» СП 20.13330.2016.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«Свод правил. Обеспечение антитеррористической защищенности зданий и сооружений. Общие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tab/>
              <w:t>требования проектирования» СП 132.13330.2011.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54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Общественные здания и сооружения» СП 118.13330.2022.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55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Организация строительства. СНиП 12-01-2004» СП 48.13330.2019.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56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Основания зданий и сооружений. Актуализированная редакция СНиП 2.02.01-83*» СП 22.13330.2016.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57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Отопление, вентиляция и кондиционирование воздуха. СНиП 41-01-2003» СП 60.13330.2020.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58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Приемка в эксплуатацию законченных строительством объектов. Основные положения. Актуализированная редакция СНиП 3.01.04-87» СП 68.13330.2017.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59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Свод правил. «Проектирование тепловых пунктов» СП 41-101-95.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60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Сооружения промышленных предприятий» СП 43.13330.2012.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61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Тепловая защита зданий. Актуализированная редакция СНиП  23-02-2003» СП 50.13330.2024.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62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Тепловая изоляция оборудования и трубопроводов» СП 61.13330.2012.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63</w:t>
            </w:r>
          </w:p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«Свод правил. Электротехнические устройства. Актуализированная редакция СНиП 3.05.06-85» СП 76.13330.2016.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b/>
                <w:sz w:val="28"/>
              </w:rPr>
              <w:t>X Раздел. Приложения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Приложение № 1 к Описанию объекта закупки (техническому заданию). Задание застройщика на проектирование объекта капитального строительства, капитальный ремонт которого осуществляется с привлечением средств бюджетной системы Российской Федерации.</w:t>
            </w:r>
          </w:p>
        </w:tc>
      </w:tr>
      <w:tr w:rsidR="008E4123" w:rsidRPr="004B59E5" w:rsidTr="00E87286">
        <w:tc>
          <w:tcPr>
            <w:tcW w:w="1274" w:type="dxa"/>
          </w:tcPr>
          <w:p w:rsidR="008E4123" w:rsidRPr="004B59E5" w:rsidRDefault="008E4123"/>
        </w:tc>
        <w:tc>
          <w:tcPr>
            <w:tcW w:w="13318" w:type="dxa"/>
          </w:tcPr>
          <w:p w:rsidR="008E4123" w:rsidRPr="004B59E5" w:rsidRDefault="008E4123"/>
        </w:tc>
      </w:tr>
    </w:tbl>
    <w:p w:rsidR="008E4123" w:rsidRPr="004B59E5" w:rsidRDefault="004726E7">
      <w:r w:rsidRPr="004B59E5">
        <w:br w:type="pag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4570"/>
      </w:tblGrid>
      <w:tr w:rsidR="008E4123" w:rsidRPr="004B59E5" w:rsidTr="001F5E90">
        <w:tc>
          <w:tcPr>
            <w:tcW w:w="0" w:type="auto"/>
          </w:tcPr>
          <w:p w:rsidR="008E4123" w:rsidRPr="004B59E5" w:rsidRDefault="008E4123"/>
        </w:tc>
      </w:tr>
      <w:tr w:rsidR="008E4123" w:rsidRPr="004B59E5" w:rsidTr="001F5E90">
        <w:tc>
          <w:tcPr>
            <w:tcW w:w="0" w:type="auto"/>
          </w:tcPr>
          <w:p w:rsidR="008E4123" w:rsidRDefault="004726E7">
            <w:pPr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ПРИЛОЖЕНИЕ № 1 К ОПИСАНИЮ ОБЪЕКТА ЗАКУПКИ</w:t>
            </w:r>
          </w:p>
          <w:p w:rsidR="001F5E90" w:rsidRPr="001F5E90" w:rsidRDefault="00C7718B" w:rsidP="00C7718B">
            <w:pPr>
              <w:ind w:firstLine="888"/>
              <w:jc w:val="both"/>
            </w:pPr>
            <w:r w:rsidRPr="00C7718B">
              <w:rPr>
                <w:rFonts w:ascii="Times New Roman" w:eastAsia="Times New Roman" w:hAnsi="Times New Roman" w:cs="Times New Roman"/>
                <w:sz w:val="28"/>
              </w:rPr>
              <w:t>Прилагается отдельным документом в XML-</w:t>
            </w:r>
            <w:proofErr w:type="gramStart"/>
            <w:r w:rsidRPr="00C7718B">
              <w:rPr>
                <w:rFonts w:ascii="Times New Roman" w:eastAsia="Times New Roman" w:hAnsi="Times New Roman" w:cs="Times New Roman"/>
                <w:sz w:val="28"/>
              </w:rPr>
              <w:t xml:space="preserve">формате. </w:t>
            </w:r>
            <w:proofErr w:type="gramEnd"/>
            <w:r w:rsidRPr="00C7718B">
              <w:rPr>
                <w:rFonts w:ascii="Times New Roman" w:eastAsia="Times New Roman" w:hAnsi="Times New Roman" w:cs="Times New Roman"/>
                <w:sz w:val="28"/>
              </w:rPr>
              <w:t> </w:t>
            </w:r>
            <w:bookmarkStart w:id="1" w:name="_GoBack"/>
            <w:bookmarkEnd w:id="1"/>
            <w:r w:rsidR="001F5E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E4123" w:rsidRPr="004B59E5" w:rsidTr="001F5E90">
        <w:tc>
          <w:tcPr>
            <w:tcW w:w="0" w:type="auto"/>
          </w:tcPr>
          <w:p w:rsidR="008E4123" w:rsidRPr="004B59E5" w:rsidRDefault="008E4123"/>
        </w:tc>
      </w:tr>
    </w:tbl>
    <w:p w:rsidR="008E4123" w:rsidRDefault="008E4123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Default="0005203F"/>
    <w:p w:rsidR="0005203F" w:rsidRPr="004B59E5" w:rsidRDefault="0005203F"/>
    <w:tbl>
      <w:tblPr>
        <w:tblW w:w="0" w:type="dxa"/>
        <w:tblLook w:val="04A0" w:firstRow="1" w:lastRow="0" w:firstColumn="1" w:lastColumn="0" w:noHBand="0" w:noVBand="1"/>
      </w:tblPr>
      <w:tblGrid>
        <w:gridCol w:w="496"/>
        <w:gridCol w:w="14074"/>
      </w:tblGrid>
      <w:tr w:rsidR="008E4123" w:rsidRPr="004B59E5">
        <w:tc>
          <w:tcPr>
            <w:tcW w:w="0" w:type="auto"/>
            <w:gridSpan w:val="2"/>
          </w:tcPr>
          <w:p w:rsidR="008E4123" w:rsidRPr="004B59E5" w:rsidRDefault="008E4123"/>
        </w:tc>
      </w:tr>
      <w:tr w:rsidR="008E4123" w:rsidRPr="004B59E5">
        <w:tc>
          <w:tcPr>
            <w:tcW w:w="0" w:type="auto"/>
            <w:gridSpan w:val="2"/>
          </w:tcPr>
          <w:p w:rsidR="008E4123" w:rsidRPr="004B59E5" w:rsidRDefault="004726E7">
            <w:pPr>
              <w:jc w:val="right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ПРИЛОЖЕНИЕ № 1 К ЗАДАНИЮ НА ПРОЕКТИРОВАНИЕ ОБЪЕКТА КАПИТАЛЬНОГО СТРОИТЕЛЬСТВА</w:t>
            </w:r>
          </w:p>
        </w:tc>
      </w:tr>
      <w:tr w:rsidR="008E4123" w:rsidRPr="004B59E5">
        <w:tc>
          <w:tcPr>
            <w:tcW w:w="0" w:type="auto"/>
            <w:gridSpan w:val="2"/>
          </w:tcPr>
          <w:p w:rsidR="008E4123" w:rsidRPr="004B59E5" w:rsidRDefault="008E4123"/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0" w:type="auto"/>
          </w:tcPr>
          <w:p w:rsidR="008E4123" w:rsidRPr="001F5E90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Задание на выполнение инженерных изысканий</w:t>
            </w:r>
            <w:r w:rsidR="001F5E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Наименование объекта; местоположение объекта; идентификационные сведения об объекте: назначение;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 принадлежность к опасным производственным объектам; пожарная и взрывопожарная опасность, уровень ответственности зданий и сооружений; краткая техническая характеристика объекта, включая размеры проектируемых зданий и сооружений; наличие предполагаемых опасных природных процессов и явлений, многолетнемерзлых и специфических грунтов на территории расположения объекта; вид градостроительной деятельности; идентификационные сведения о заказчике; данные о границах площадки (площадок) и (или) трассы (трасс) линейного сооружения (точки ее начала и окончания, протяженность); данные о границах участков, на которые создаются (обновляются) инженерно-топографические планы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Определяются в соответствии с Заданием на проектирование объекта капитального строительства (далее – Задание на проектирование).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Основание для выполнения работ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Контракт (договор подряда), договор (договоры) субподряда.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Идентификационные сведения об исполнителе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В соответствии с контрактом (договором подряда), договором(договорами) субподряда.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Виды инженерных изысканий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Инженерно-технические изыскания (комплексное инженерно-технического обследование состояния объекта (далее – КИТО).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Цели и задачи инженерных изысканий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Формирование данных, необходимых для выполнения работ по подготовке проектной документации, в том числе в части: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получение актуальных инженерно-топографических планов (далее – ИТП), планов (схем) существующих подземных и надземных инженерных сооружений с их техническими характеристиками для подтверждения и/или уточнения решений, предусмотренных в рамках архитектурно-строительного проектирования объекта в отношении сетей инженерно-технического обеспечения, а также для геодезического обеспечения и геотехнического контроля при производстве строительно-монтажных работ в границах земельного участка;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получения объективной оценки технического состояния объекта, фактической несущей способности его конструкций и, в случае необходимости, принятия обоснованных технических решений по ремонтно-восстановительным мероприятиям или способам усилений, сетей инженерно-технического обеспечения.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Этапы выполнения инженерных изысканий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В соответствии с СП 47.13330.2016 «Свод правил. Инженерные изыскания для строительства. Основные положения. Актуализированная редакция СНиП 11-02-96» (далее – СП 47.13330.2016).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Предполагаемые техногенные воздействия объекта на окружающую среду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Не предусмотрены.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Дополнительные требования к выполнению отдельных видов работ в составе инженерных изысканий с учетом отраслевой специфики объекта и отдельных видов работ в составе инженерных изысканий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1) При выполнении инженерных изысканий: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в случае необходимости получения (приобретения) недостающих исходных материалов и данных, и их отсутствия у заказчика, исполнитель инженерных изысканий обеспечивает их получение (приобретение) своими силами и за свой счет;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должны применяться средства измерений, прошедшие метрологическую поверку (или калибровку) в соответствии с Федеральным законом от 26.06.2008 г. № 102-ФЗ «Об обеспечении единства измерений», применение нестандартного, уникального или инновационного оборудования в соответствии с пунктом 4.8. СП 47.13330.2016, допускается только при условии обоснования в программе инженерных изысканий;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учитываться сведения, содержащиеся в документах, указанных в настоящем Задании на проектирование.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2) Состав, объемы, методы и последовательность работ, выполняемых при проведении инженерных изысканий должны соответствовать требованиям актов, и документов, в результате применения которых обеспечивается соблюдение требований к выполнению инженерных изысканий и Закона № 384-ФЗ, в том числе требованиям ГОСТ 31937-2024 «Международный стандарт. Здания и сооружения. Правила обследования и мониторинга технического состояния» (далее – ГОСТ 31937-2024).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3) При выполнении КИТО предметом исследования определяются: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грунты, фундаменты, фундаментные плиты, ростверк, фундаментные балки, ж/б пояса, цокольная часть зданий и иные несущие и ненесущие конструкции;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наружные стены (исследуются на несущую способность, в том числе и навесных систем фасадов), колонны, столбы, перегородки и иные конструкции, и элементы;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перекрытия и покрытия, в том числе балки, арки, фермы стропильные и подстропильные, плиты, прогоны, перемычки и другие элементы, и конструкции;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балконы, эркеры, лестничные площадки и марши, подкрановые балки и фермы, ступени и проступи, элементы крепления и монтажные элементы лестниц наружных и внутренних и иных конструкций, и элементов;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связевые конструкции, элементы жесткости, стыки и узлы, сопряжения конструкций между собой, элементы креплений и связей между металлическими конструкциями и ж/б изделиями, способы их соединения и размеры площадок опирания;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металлические изделия и конструкции наружных и внутренних стен, иных ограждающих конструкций, лестниц, кровли и крыши, узлы стыков, сварочные швы и т.п.;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инженерное оборудование и инженерные системы вентиляции, отопления и кондиционирования, водоотведения, водоснабжения, электроснабжения, локальные системы слабых токов, сетей связи и иных систем обеспечения жизнедеятельности;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полы, потолки (в том числе подвесные), вентиляционные шахты и каналы, и иные конструктивные элементы зданий и сооружений;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физкультурно-спортивная зона.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4) В течение 3 (трёх) рабочих дней со дня начала выполнения инженерных изысканий должны быть разработаны и представлены на согласование заказчику программы инженерных изысканий (далее – Программы), содержащие: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в части программы КИТО: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перечень подлежащих обследованию строительных конструкций и их элементов,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перечень подлежащего обследованию инженерного оборудования, электрических сетей и средств связи,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места и методы инструментальных измерений и испытаний,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места вскрытия и отбора проб материалов для исследования образцов в лабораторных условиях,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необходимость проведения инженерно-геологических изысканий,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перечень необходимых поверочных расчетов;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иные сведения, подлежащие включению в программу КИТО в соответствии с требованиями ГОСТ 31937-2011.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5) При необходимости уточнения Программ исполнитель инженерных изысканий согласовывает соответствующие уточнения с заказчиком в порядке взаимодействия, определенном в Описании объекта закупки (Техническом задании), при необходимости уточнения Программы КИТО по результатам предварительного (визуального) обследования объекта согласование уточненной Программы КИТО с заказчиком осуществляется до начала детального (инструментального) обследования.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6) После выполнения КИТО исполнитель инженерных изысканий обязан осуществить за свой счет восстановление целостности конструкций и покрытий, в том числе: вскрытий, шурфования, бурения (при необходимости с послойным трамбованием).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составлению прогноза изменения природных условий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Подготовить в объеме необходимом и достаточном для соблюдения требований Закона № 384-ФЗ с учетом специфики объекта.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о подготовке предложений и рекомендаций для принятия решений по организации инженерной защиты территории, зданий и сооружений от опасных природных процессов и техногенных воздействий и устранению или ослаблению их влияния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Не требуется.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по обеспечению контроля качества при выполнении инженерных изысканий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Исполнитель инженерных изысканий обязан обеспечивать внутренний контроль качества выполнения и приемку полевых, лабораторных и камеральных работ в соответствии с п. 4.9 СП 47.13330.2016.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составу, форме и формату предоставления результатов инженерных изысканий, порядку их передачи заказчику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1) состав результатов инженерных изысканий включает: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ИТП, в масштабе 1:500 (высота сечения рельефа горизонталями определяется в соответствии с приложением «В» к СП 47.13330.2016);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планы (схемы) сетей подземных сооружений с их техническими характеристиками, согласованные собственниками (эксплуатирующими организациями);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сведения о собственниках пересекаемых инженерных коммуникаций (почтовый адрес, телефон, адрес электронной почты) в виде ведомости или на планах (схемах) согласований;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картограмма расположения созданных ИТП;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акты полевого контроля и приемки ИТП.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2) форма и формат предоставления результатов инженерных изысканий: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в электронной форме в соответствии с требованиями, утвержденными приказом Минстроя России от 12.05.2017 № 783/пр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 и XML-схемами размещенными на официальном сайте Минстроя России https://www.minstroyrf.gov.ru/tim/xml-skhemy/);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на бумажных носителях в количестве 3 (трех) экземпляров;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- на электронном носителе - в одном экземпляре.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3) порядок передачи результатов инженерных изысканий: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результаты инженерных изысканий предоставляются заказчику в течение в течение 1 (одного) рабочего дней со дня выполнения инженерных изысканий для согласования в порядке, определенном во II Разделе Технического задания, Заказчик осуществляет согласование результатов выполнения инженерных изысканий в течение 5 (пяти) дней со дня их получения в порядке, определенном во II Разделе Технического задания.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изысканий осложнениях в процессе строительства и эксплуатации сооружений, в том числе деформациях и аварийных ситуациях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Состав исходно-разрешительной документации определен в Приложении № 2 к Заданию на проектирование.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форме предоставления результатов инженерных изысканий, позволяющей осуществлять их использование при формировании и ведении информационной модели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Не установлены.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съемке подземных и надземных коммуникаций и сооружений; требования к формированию инженерной цифровой модели местности; требования к изысканиям трасс линейных объектов; требования к стационарным геодезическим наблюдениям в районах развития опасных природных процессов и техногенных воздействий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Не устанавливаются.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Требования к составу, виду, формату и срокам представления промежуточных материалов и отчетной документации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В соответствии с настоящим Заданием на выполнение инженерных изысканий.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Перечень нормативных правовых актов, нормативных документов, в соответствии с требованиями которых необходимо выполнять инженерные изыскания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 выполнении инженерных изысканий подлежат к применению нормативные документы, указанные в IX Разделе настоящего Технического задания.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</w:tbl>
    <w:p w:rsidR="008E4123" w:rsidRPr="004B59E5" w:rsidRDefault="004726E7">
      <w:r w:rsidRPr="004B59E5">
        <w:br w:type="page"/>
      </w:r>
    </w:p>
    <w:tbl>
      <w:tblPr>
        <w:tblW w:w="0" w:type="dxa"/>
        <w:tblLook w:val="04A0" w:firstRow="1" w:lastRow="0" w:firstColumn="1" w:lastColumn="0" w:noHBand="0" w:noVBand="1"/>
      </w:tblPr>
      <w:tblGrid>
        <w:gridCol w:w="496"/>
        <w:gridCol w:w="14074"/>
      </w:tblGrid>
      <w:tr w:rsidR="008E4123" w:rsidRPr="004B59E5">
        <w:tc>
          <w:tcPr>
            <w:tcW w:w="0" w:type="auto"/>
            <w:gridSpan w:val="2"/>
          </w:tcPr>
          <w:p w:rsidR="008E4123" w:rsidRPr="004B59E5" w:rsidRDefault="008E4123"/>
        </w:tc>
      </w:tr>
      <w:tr w:rsidR="008E4123" w:rsidRPr="004B59E5">
        <w:tc>
          <w:tcPr>
            <w:tcW w:w="0" w:type="auto"/>
            <w:gridSpan w:val="2"/>
          </w:tcPr>
          <w:p w:rsidR="008E4123" w:rsidRPr="004B59E5" w:rsidRDefault="004726E7">
            <w:pPr>
              <w:jc w:val="right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ПРИЛОЖЕНИЕ № 2 К ЗАДАНИЮ НА ПРОЕКТИРОВАНИЕ ОБЪЕКТА КАПИТАЛЬНОГО СТРОИТЕЛЬСТВА</w:t>
            </w:r>
          </w:p>
        </w:tc>
      </w:tr>
      <w:tr w:rsidR="008E4123" w:rsidRPr="004B59E5">
        <w:tc>
          <w:tcPr>
            <w:tcW w:w="0" w:type="auto"/>
            <w:gridSpan w:val="2"/>
          </w:tcPr>
          <w:p w:rsidR="008E4123" w:rsidRPr="004B59E5" w:rsidRDefault="008E4123"/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Комплект исходных данных (состав исходно-разрешительной документации) и порядок их предоставления</w:t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Правоустанавливающие документы на объект капитального строительства (здание)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Предоставляется при наличии в форме выписки из Единого государственного реестра недвижимости (ЕГРН)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Правоустанавливающие документы на земельный участок (на котором расположен объект капитального строительства)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>Предоставляется при наличии в форме выписки из Единого государственного реестра недвижимости (ЕГРН)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Градостроительный план земельного участка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Срок: срок предоставления указан в приложении 2 к Контракту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Инженерно-топографический план в масштабе 1:500 (при наличии)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Срок: срок предоставления указан в приложении 2 к Контракту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Технический паспорт бюро технической инвентаризации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Акт, утвержденный застройщиком или техническим заказчиком и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по состоянию на дату обследования (Акт обследования объекта на ремонт, по форме, приведенной на официальном сайте Государственное автономное учреждения Московской области «Московская областная государственная экспертиза»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Фотографии ремонтируемого здания (фасады, коридоры, помещения)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 при наличии: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Предписания контролирующих органов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Предоставляются при наличии,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Паспорт объекта культурного наследия, в том числе с разработанным и с утвержденным предметом охраны (при наличии)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наличии,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Проектная документация на объект капитального строительства и сети инженерно-технического обеспечения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наличии,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Акты разграничения балансовой принадлежности и эксплуатационной ответственности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Договоры, технические условия (ТУ) ресурсоснабжающих организаций, договоры на подключение к сетям инженерно-технического обеспечения, акты разграничения балансовой принадлежности и эксплуатационной ответственности, другие исходные данные в объемах необходимых и достаточных для подготовки проектной документации, получения положительного заключения экспертизы, в том числе: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Технические условия на проектирование УУГ;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Технические условия на связь;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Технические условия на водоснабжение и водоотведение;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Технические условия на подключение к тепловым сетям;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Технические условия на подключение к электросетям.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Протокол исследования питьевой воды (хим. анализ исходной воды)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Срок: в течение 1 рабочего дня со дня поступления запроса Подрядчика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Справка о фоновых концентрациях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Срок: в течение 1 рабочего дня со дня поступления запроса Подрядчика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Договоры технологического присоединения к слаботочным сетям, радио, интернету, телефонизации – при наличии; в случае отсутствии системы – справка об отсутствии, площадь охватываемой территории и иные параметры</w:t>
            </w:r>
          </w:p>
        </w:tc>
      </w:tr>
      <w:tr w:rsidR="008E4123" w:rsidRPr="004B59E5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Pr="004B59E5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  <w:tr w:rsidR="008E4123" w:rsidRPr="004B59E5"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0" w:type="auto"/>
          </w:tcPr>
          <w:p w:rsidR="008E4123" w:rsidRPr="004B59E5" w:rsidRDefault="004726E7">
            <w:r w:rsidRPr="004B59E5">
              <w:rPr>
                <w:rFonts w:ascii="Times New Roman" w:eastAsia="Times New Roman" w:hAnsi="Times New Roman" w:cs="Times New Roman"/>
                <w:sz w:val="28"/>
              </w:rPr>
              <w:t>Энергетический паспорт здания (при наличии)</w:t>
            </w:r>
          </w:p>
        </w:tc>
      </w:tr>
      <w:tr w:rsidR="008E4123">
        <w:tc>
          <w:tcPr>
            <w:tcW w:w="0" w:type="auto"/>
            <w:vMerge/>
          </w:tcPr>
          <w:p w:rsidR="008E4123" w:rsidRPr="004B59E5" w:rsidRDefault="008E4123"/>
        </w:tc>
        <w:tc>
          <w:tcPr>
            <w:tcW w:w="0" w:type="auto"/>
          </w:tcPr>
          <w:p w:rsidR="008E4123" w:rsidRDefault="004726E7">
            <w:pPr>
              <w:jc w:val="both"/>
            </w:pPr>
            <w:r w:rsidRPr="004B59E5">
              <w:rPr>
                <w:rFonts w:ascii="Times New Roman" w:eastAsia="Times New Roman" w:hAnsi="Times New Roman" w:cs="Times New Roman"/>
                <w:sz w:val="28"/>
              </w:rPr>
              <w:t xml:space="preserve">Предоставляется при наличии копия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 xml:space="preserve">Формат предоставления: электронный документ </w:t>
            </w:r>
            <w:r w:rsidRPr="004B59E5">
              <w:rPr>
                <w:rFonts w:ascii="Times New Roman" w:eastAsia="Times New Roman" w:hAnsi="Times New Roman" w:cs="Times New Roman"/>
                <w:sz w:val="28"/>
              </w:rPr>
              <w:br/>
              <w:t>Способ: электронное сообщение на адрес электронной почты Подрядчика, выделенный для взаимодействия с Заказчиком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</w:tr>
    </w:tbl>
    <w:p w:rsidR="004726E7" w:rsidRDefault="004726E7"/>
    <w:sectPr w:rsidR="004726E7" w:rsidSect="00B36040">
      <w:head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6E7" w:rsidRDefault="004726E7" w:rsidP="002D2879">
      <w:pPr>
        <w:spacing w:after="0" w:line="240" w:lineRule="auto"/>
      </w:pPr>
      <w:r>
        <w:separator/>
      </w:r>
    </w:p>
  </w:endnote>
  <w:endnote w:type="continuationSeparator" w:id="0">
    <w:p w:rsidR="004726E7" w:rsidRDefault="004726E7" w:rsidP="002D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6E7" w:rsidRDefault="004726E7" w:rsidP="002D2879">
      <w:pPr>
        <w:spacing w:after="0" w:line="240" w:lineRule="auto"/>
      </w:pPr>
      <w:r>
        <w:separator/>
      </w:r>
    </w:p>
  </w:footnote>
  <w:footnote w:type="continuationSeparator" w:id="0">
    <w:p w:rsidR="004726E7" w:rsidRDefault="004726E7" w:rsidP="002D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879" w:rsidRPr="002D2879" w:rsidRDefault="002D2879" w:rsidP="002D2879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277EB"/>
    <w:multiLevelType w:val="hybridMultilevel"/>
    <w:tmpl w:val="9F1430B8"/>
    <w:lvl w:ilvl="0" w:tplc="93C46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49"/>
    <w:rsid w:val="000154B8"/>
    <w:rsid w:val="0005203F"/>
    <w:rsid w:val="00060943"/>
    <w:rsid w:val="00095B32"/>
    <w:rsid w:val="000A7333"/>
    <w:rsid w:val="000B21B2"/>
    <w:rsid w:val="000B4471"/>
    <w:rsid w:val="000D0414"/>
    <w:rsid w:val="000D05B1"/>
    <w:rsid w:val="000E0E8F"/>
    <w:rsid w:val="001119F6"/>
    <w:rsid w:val="00125A12"/>
    <w:rsid w:val="00125ACB"/>
    <w:rsid w:val="00167A93"/>
    <w:rsid w:val="00174B2A"/>
    <w:rsid w:val="0017634C"/>
    <w:rsid w:val="00183CA5"/>
    <w:rsid w:val="00193F59"/>
    <w:rsid w:val="00195CDA"/>
    <w:rsid w:val="001B27DB"/>
    <w:rsid w:val="001B5D3B"/>
    <w:rsid w:val="001B5FCF"/>
    <w:rsid w:val="001D5BEA"/>
    <w:rsid w:val="001E188E"/>
    <w:rsid w:val="001F3F2F"/>
    <w:rsid w:val="001F4217"/>
    <w:rsid w:val="001F5E90"/>
    <w:rsid w:val="002177C0"/>
    <w:rsid w:val="00223223"/>
    <w:rsid w:val="00285B91"/>
    <w:rsid w:val="002C3855"/>
    <w:rsid w:val="002C3898"/>
    <w:rsid w:val="002D1912"/>
    <w:rsid w:val="002D2879"/>
    <w:rsid w:val="002E1F95"/>
    <w:rsid w:val="002F014A"/>
    <w:rsid w:val="002F6CE5"/>
    <w:rsid w:val="00310BFC"/>
    <w:rsid w:val="00337B76"/>
    <w:rsid w:val="003575B0"/>
    <w:rsid w:val="00394194"/>
    <w:rsid w:val="003A4834"/>
    <w:rsid w:val="003D6D27"/>
    <w:rsid w:val="0040012C"/>
    <w:rsid w:val="004148FA"/>
    <w:rsid w:val="0043752A"/>
    <w:rsid w:val="00446580"/>
    <w:rsid w:val="004726E7"/>
    <w:rsid w:val="004B59E5"/>
    <w:rsid w:val="004B669A"/>
    <w:rsid w:val="004D0242"/>
    <w:rsid w:val="004E432A"/>
    <w:rsid w:val="00512F19"/>
    <w:rsid w:val="005B714A"/>
    <w:rsid w:val="005C08ED"/>
    <w:rsid w:val="005D45A8"/>
    <w:rsid w:val="005D57C8"/>
    <w:rsid w:val="005F3459"/>
    <w:rsid w:val="00605E81"/>
    <w:rsid w:val="0061126A"/>
    <w:rsid w:val="006233DD"/>
    <w:rsid w:val="00625E6F"/>
    <w:rsid w:val="00626A09"/>
    <w:rsid w:val="00667B72"/>
    <w:rsid w:val="00681B1D"/>
    <w:rsid w:val="00692680"/>
    <w:rsid w:val="006C0633"/>
    <w:rsid w:val="006D4C64"/>
    <w:rsid w:val="006E03C5"/>
    <w:rsid w:val="006E2FCC"/>
    <w:rsid w:val="006E6A36"/>
    <w:rsid w:val="006F1DC3"/>
    <w:rsid w:val="00706CC0"/>
    <w:rsid w:val="00731591"/>
    <w:rsid w:val="007466B2"/>
    <w:rsid w:val="00774825"/>
    <w:rsid w:val="00787A3E"/>
    <w:rsid w:val="007C7F47"/>
    <w:rsid w:val="007D5C34"/>
    <w:rsid w:val="00801DF4"/>
    <w:rsid w:val="00804E7E"/>
    <w:rsid w:val="00814B18"/>
    <w:rsid w:val="0082648E"/>
    <w:rsid w:val="0083158B"/>
    <w:rsid w:val="0085510C"/>
    <w:rsid w:val="0085543B"/>
    <w:rsid w:val="008769D6"/>
    <w:rsid w:val="00893FF2"/>
    <w:rsid w:val="008D64A9"/>
    <w:rsid w:val="008E4123"/>
    <w:rsid w:val="008E4A59"/>
    <w:rsid w:val="008F4919"/>
    <w:rsid w:val="009206B9"/>
    <w:rsid w:val="00931E90"/>
    <w:rsid w:val="009338FE"/>
    <w:rsid w:val="009918CC"/>
    <w:rsid w:val="00995331"/>
    <w:rsid w:val="009F3820"/>
    <w:rsid w:val="00A07E2D"/>
    <w:rsid w:val="00A10E01"/>
    <w:rsid w:val="00A26A41"/>
    <w:rsid w:val="00A4798A"/>
    <w:rsid w:val="00A52B17"/>
    <w:rsid w:val="00A76844"/>
    <w:rsid w:val="00A82859"/>
    <w:rsid w:val="00A92A7B"/>
    <w:rsid w:val="00AA4B99"/>
    <w:rsid w:val="00AB0D6E"/>
    <w:rsid w:val="00AC0782"/>
    <w:rsid w:val="00B11AF2"/>
    <w:rsid w:val="00B36040"/>
    <w:rsid w:val="00B56CB7"/>
    <w:rsid w:val="00B6415A"/>
    <w:rsid w:val="00BB44A9"/>
    <w:rsid w:val="00BE59FB"/>
    <w:rsid w:val="00C27749"/>
    <w:rsid w:val="00C346A3"/>
    <w:rsid w:val="00C4106F"/>
    <w:rsid w:val="00C70C92"/>
    <w:rsid w:val="00C7718B"/>
    <w:rsid w:val="00C77CAA"/>
    <w:rsid w:val="00C96677"/>
    <w:rsid w:val="00CA3AF6"/>
    <w:rsid w:val="00CA5C55"/>
    <w:rsid w:val="00CC05AC"/>
    <w:rsid w:val="00CD3D55"/>
    <w:rsid w:val="00CD4364"/>
    <w:rsid w:val="00CE2429"/>
    <w:rsid w:val="00CE79C6"/>
    <w:rsid w:val="00CF0E2E"/>
    <w:rsid w:val="00D569EC"/>
    <w:rsid w:val="00DA725A"/>
    <w:rsid w:val="00DD453A"/>
    <w:rsid w:val="00E16397"/>
    <w:rsid w:val="00E20CFF"/>
    <w:rsid w:val="00E215B3"/>
    <w:rsid w:val="00E574B8"/>
    <w:rsid w:val="00E6497D"/>
    <w:rsid w:val="00E8202A"/>
    <w:rsid w:val="00E87286"/>
    <w:rsid w:val="00EB3787"/>
    <w:rsid w:val="00ED3AEA"/>
    <w:rsid w:val="00EE1309"/>
    <w:rsid w:val="00EE28DC"/>
    <w:rsid w:val="00EE7D33"/>
    <w:rsid w:val="00F12F95"/>
    <w:rsid w:val="00F26B4F"/>
    <w:rsid w:val="00F31A67"/>
    <w:rsid w:val="00F34E2B"/>
    <w:rsid w:val="00F44D7F"/>
    <w:rsid w:val="00F609D8"/>
    <w:rsid w:val="00F718BF"/>
    <w:rsid w:val="00F72287"/>
    <w:rsid w:val="00F84EDD"/>
    <w:rsid w:val="00F93E34"/>
    <w:rsid w:val="00FA242C"/>
    <w:rsid w:val="00FC0E25"/>
    <w:rsid w:val="00FC5369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39E50-B34E-4324-A6BE-965CB481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5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21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E21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2879"/>
  </w:style>
  <w:style w:type="paragraph" w:styleId="a6">
    <w:name w:val="footer"/>
    <w:basedOn w:val="a"/>
    <w:link w:val="a7"/>
    <w:uiPriority w:val="99"/>
    <w:unhideWhenUsed/>
    <w:rsid w:val="002D2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2879"/>
  </w:style>
  <w:style w:type="character" w:customStyle="1" w:styleId="a8">
    <w:name w:val="Основной текст_"/>
    <w:link w:val="7"/>
    <w:locked/>
    <w:rsid w:val="0083158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83158B"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paragraph" w:styleId="a9">
    <w:name w:val="footnote text"/>
    <w:aliases w:val="Знак2,Знак21, Знак,Основной текст с отступом 22,Основной текст с отступом 221, Знак6,Знак6,Footnote Text Char Знак Знак,Footnote Text Char Знак,Footnote Text Char Знак Знак Знак Знак,Знак1 Знак1,Текст сноски Знак Знак1,Знак, Знак1 Знак1,F1"/>
    <w:basedOn w:val="a"/>
    <w:link w:val="aa"/>
    <w:uiPriority w:val="99"/>
    <w:unhideWhenUsed/>
    <w:qFormat/>
    <w:rsid w:val="0083158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aliases w:val="Знак2 Знак,Знак21 Знак, Знак Знак,Основной текст с отступом 22 Знак,Основной текст с отступом 221 Знак, Знак6 Знак,Знак6 Знак,Footnote Text Char Знак Знак Знак,Footnote Text Char Знак Знак1,Footnote Text Char Знак Знак Знак Знак Знак"/>
    <w:basedOn w:val="a0"/>
    <w:link w:val="a9"/>
    <w:uiPriority w:val="99"/>
    <w:rsid w:val="0083158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158B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83158B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3158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83158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315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3158B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31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3158B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3A4834"/>
    <w:pPr>
      <w:spacing w:after="0" w:line="240" w:lineRule="auto"/>
    </w:pPr>
  </w:style>
  <w:style w:type="character" w:styleId="af4">
    <w:name w:val="Hyperlink"/>
    <w:basedOn w:val="a0"/>
    <w:uiPriority w:val="99"/>
    <w:unhideWhenUsed/>
    <w:rsid w:val="008E4A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6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992DA-FFCC-47F8-8737-1807425B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</Pages>
  <Words>9072</Words>
  <Characters>51717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Виктория Олеговна</dc:creator>
  <cp:lastModifiedBy>МКУ ВидУКС</cp:lastModifiedBy>
  <cp:revision>5</cp:revision>
  <dcterms:created xsi:type="dcterms:W3CDTF">2025-08-27T13:18:00Z</dcterms:created>
  <dcterms:modified xsi:type="dcterms:W3CDTF">2025-09-22T08:50:00Z</dcterms:modified>
</cp:coreProperties>
</file>